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648" w14:textId="77777777" w:rsidR="00476549" w:rsidRPr="00476549" w:rsidRDefault="00476549" w:rsidP="00476549">
      <w:pPr>
        <w:tabs>
          <w:tab w:val="center" w:pos="1701"/>
          <w:tab w:val="right" w:pos="9639"/>
        </w:tabs>
        <w:spacing w:after="120"/>
        <w:rPr>
          <w:b/>
          <w:bCs/>
          <w:color w:val="000000"/>
          <w:sz w:val="18"/>
          <w:szCs w:val="18"/>
        </w:rPr>
      </w:pPr>
      <w:r w:rsidRPr="00476549">
        <w:rPr>
          <w:noProof/>
          <w:sz w:val="4"/>
          <w:szCs w:val="4"/>
          <w:lang w:val="fr-FR"/>
        </w:rPr>
        <w:drawing>
          <wp:anchor distT="0" distB="0" distL="114300" distR="114300" simplePos="0" relativeHeight="251659264" behindDoc="1" locked="0" layoutInCell="1" allowOverlap="1" wp14:anchorId="19A34D36" wp14:editId="28D5DF3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02310" cy="1045845"/>
            <wp:effectExtent l="0" t="0" r="254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2" t="6180" r="22874" b="4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549">
        <w:rPr>
          <w:b/>
          <w:bCs/>
          <w:color w:val="000000"/>
          <w:sz w:val="10"/>
          <w:szCs w:val="10"/>
        </w:rPr>
        <w:tab/>
      </w:r>
      <w:r w:rsidRPr="00476549">
        <w:rPr>
          <w:b/>
          <w:bCs/>
          <w:color w:val="000000"/>
          <w:sz w:val="18"/>
          <w:szCs w:val="18"/>
        </w:rPr>
        <w:tab/>
      </w:r>
    </w:p>
    <w:p w14:paraId="2AB47CB8" w14:textId="77777777" w:rsidR="00476549" w:rsidRPr="00845C95" w:rsidRDefault="00476549" w:rsidP="00476549">
      <w:pPr>
        <w:tabs>
          <w:tab w:val="left" w:pos="1418"/>
          <w:tab w:val="right" w:pos="9639"/>
        </w:tabs>
        <w:rPr>
          <w:rStyle w:val="Sous-titreCar"/>
          <w:b/>
          <w:bCs/>
          <w:sz w:val="24"/>
          <w:szCs w:val="24"/>
        </w:rPr>
      </w:pPr>
      <w:r>
        <w:rPr>
          <w:rStyle w:val="Sous-titreCar"/>
          <w:b/>
          <w:bCs/>
          <w:sz w:val="24"/>
          <w:szCs w:val="24"/>
        </w:rPr>
        <w:tab/>
      </w:r>
      <w:r w:rsidRPr="00845C95">
        <w:rPr>
          <w:rStyle w:val="Sous-titreCar"/>
          <w:b/>
          <w:bCs/>
          <w:sz w:val="24"/>
          <w:szCs w:val="24"/>
        </w:rPr>
        <w:t>MAIRIE DE</w:t>
      </w:r>
      <w:r w:rsidRPr="00845C95">
        <w:rPr>
          <w:rFonts w:ascii="Calibri Light" w:hAnsi="Calibri Light"/>
          <w:b/>
          <w:bCs/>
          <w:color w:val="000000"/>
          <w:sz w:val="28"/>
          <w:szCs w:val="28"/>
        </w:rPr>
        <w:t xml:space="preserve"> </w:t>
      </w:r>
      <w:r w:rsidRPr="00845C95">
        <w:rPr>
          <w:rStyle w:val="Sous-titreCar"/>
          <w:b/>
          <w:bCs/>
          <w:sz w:val="24"/>
          <w:szCs w:val="24"/>
        </w:rPr>
        <w:t>CHADELEUF</w:t>
      </w:r>
    </w:p>
    <w:p w14:paraId="69215A09" w14:textId="77777777" w:rsidR="00476549" w:rsidRDefault="00476549" w:rsidP="00476549">
      <w:pPr>
        <w:tabs>
          <w:tab w:val="left" w:pos="1418"/>
          <w:tab w:val="right" w:pos="9639"/>
        </w:tabs>
        <w:rPr>
          <w:rStyle w:val="Sous-titreCar"/>
        </w:rPr>
      </w:pPr>
      <w:r>
        <w:rPr>
          <w:rStyle w:val="Sous-titreCar"/>
        </w:rPr>
        <w:tab/>
      </w:r>
      <w:r w:rsidRPr="00845C95">
        <w:rPr>
          <w:rStyle w:val="Sous-titreCar"/>
        </w:rPr>
        <w:t>09 64 08 33 89</w:t>
      </w:r>
    </w:p>
    <w:p w14:paraId="5E4753FE" w14:textId="1F351519" w:rsidR="00476549" w:rsidRDefault="00476549" w:rsidP="00476549">
      <w:pPr>
        <w:tabs>
          <w:tab w:val="left" w:pos="1418"/>
          <w:tab w:val="right" w:pos="9639"/>
        </w:tabs>
        <w:spacing w:after="120"/>
        <w:rPr>
          <w:rStyle w:val="Sous-titreCar"/>
        </w:rPr>
      </w:pPr>
      <w:r>
        <w:rPr>
          <w:rStyle w:val="Sous-titreCar"/>
        </w:rPr>
        <w:tab/>
      </w:r>
      <w:r w:rsidRPr="00845C95">
        <w:rPr>
          <w:rStyle w:val="Sous-titreCar"/>
        </w:rPr>
        <w:t>www.chadeleuf.fr</w:t>
      </w:r>
    </w:p>
    <w:p w14:paraId="52771A86" w14:textId="77777777" w:rsidR="00E659CD" w:rsidRDefault="00E659CD" w:rsidP="00E659CD">
      <w:pPr>
        <w:tabs>
          <w:tab w:val="left" w:pos="1418"/>
          <w:tab w:val="right" w:pos="9639"/>
        </w:tabs>
        <w:rPr>
          <w:rStyle w:val="Sous-titreCar"/>
        </w:rPr>
      </w:pPr>
    </w:p>
    <w:p w14:paraId="716E2C15" w14:textId="77777777" w:rsidR="00476549" w:rsidRPr="00476549" w:rsidRDefault="00476549" w:rsidP="00476549">
      <w:pPr>
        <w:pStyle w:val="Titre1"/>
        <w:pBdr>
          <w:bottom w:val="single" w:sz="4" w:space="1" w:color="auto"/>
        </w:pBdr>
        <w:spacing w:before="0"/>
        <w:ind w:left="1701" w:right="1701"/>
        <w:jc w:val="center"/>
        <w:rPr>
          <w:rStyle w:val="TitreCar"/>
          <w:b/>
          <w:bCs/>
          <w:spacing w:val="0"/>
          <w:kern w:val="0"/>
          <w:sz w:val="32"/>
          <w:szCs w:val="32"/>
        </w:rPr>
      </w:pPr>
      <w:r w:rsidRPr="00476549">
        <w:rPr>
          <w:rStyle w:val="TitreCar"/>
          <w:b/>
          <w:bCs/>
          <w:spacing w:val="0"/>
          <w:kern w:val="0"/>
          <w:sz w:val="32"/>
          <w:szCs w:val="32"/>
        </w:rPr>
        <w:t>Conseil municipal de Chadeleuf</w:t>
      </w:r>
    </w:p>
    <w:p w14:paraId="2A9E28A7" w14:textId="77777777" w:rsidR="00476549" w:rsidRPr="00476549" w:rsidRDefault="00476549" w:rsidP="00476549">
      <w:pPr>
        <w:pStyle w:val="Sous-titre"/>
        <w:spacing w:after="120"/>
        <w:jc w:val="center"/>
        <w:rPr>
          <w:rFonts w:eastAsia="Times New Roman"/>
          <w:b/>
          <w:bCs/>
        </w:rPr>
      </w:pPr>
      <w:r w:rsidRPr="00476549">
        <w:rPr>
          <w:b/>
          <w:bCs/>
        </w:rPr>
        <w:t xml:space="preserve">Séance du </w:t>
      </w:r>
      <w:r w:rsidR="00AC7974">
        <w:rPr>
          <w:b/>
          <w:bCs/>
        </w:rPr>
        <w:t>11</w:t>
      </w:r>
      <w:r w:rsidRPr="00476549">
        <w:rPr>
          <w:b/>
          <w:bCs/>
        </w:rPr>
        <w:t xml:space="preserve"> </w:t>
      </w:r>
      <w:r w:rsidR="00AC7974">
        <w:rPr>
          <w:b/>
          <w:bCs/>
        </w:rPr>
        <w:t>janvier</w:t>
      </w:r>
      <w:r w:rsidRPr="00476549">
        <w:rPr>
          <w:b/>
          <w:bCs/>
        </w:rPr>
        <w:t xml:space="preserve"> 202</w:t>
      </w:r>
      <w:r w:rsidR="00AC7974">
        <w:rPr>
          <w:b/>
          <w:bCs/>
        </w:rPr>
        <w:t>3</w:t>
      </w:r>
      <w:r w:rsidRPr="00476549">
        <w:rPr>
          <w:b/>
          <w:bCs/>
        </w:rPr>
        <w:t xml:space="preserve"> à 20h</w:t>
      </w:r>
    </w:p>
    <w:p w14:paraId="1BE0EEC7" w14:textId="77777777" w:rsidR="00E659CD" w:rsidRDefault="00E659CD" w:rsidP="00E659CD">
      <w:pPr>
        <w:jc w:val="both"/>
        <w:rPr>
          <w:rFonts w:asciiTheme="minorHAnsi" w:hAnsiTheme="minorHAnsi" w:cstheme="minorHAnsi"/>
          <w:u w:val="single"/>
        </w:rPr>
      </w:pPr>
    </w:p>
    <w:p w14:paraId="24EFC1E8" w14:textId="2A550D03" w:rsidR="00476549" w:rsidRPr="00604DE2" w:rsidRDefault="00476549" w:rsidP="00476549">
      <w:pPr>
        <w:spacing w:after="120"/>
        <w:jc w:val="both"/>
        <w:rPr>
          <w:rFonts w:asciiTheme="minorHAnsi" w:hAnsiTheme="minorHAnsi" w:cstheme="minorHAnsi"/>
        </w:rPr>
      </w:pPr>
      <w:r w:rsidRPr="00604DE2">
        <w:rPr>
          <w:rFonts w:asciiTheme="minorHAnsi" w:hAnsiTheme="minorHAnsi" w:cstheme="minorHAnsi"/>
          <w:u w:val="single"/>
        </w:rPr>
        <w:t>Présents</w:t>
      </w:r>
      <w:r w:rsidRPr="00604DE2">
        <w:rPr>
          <w:rFonts w:asciiTheme="minorHAnsi" w:hAnsiTheme="minorHAnsi" w:cstheme="minorHAnsi"/>
        </w:rPr>
        <w:t xml:space="preserve"> : Isabelle BAPTISSARD,</w:t>
      </w:r>
      <w:r w:rsidRPr="00604DE2">
        <w:rPr>
          <w:rFonts w:asciiTheme="minorHAnsi" w:hAnsiTheme="minorHAnsi" w:cstheme="minorHAnsi"/>
          <w:i/>
        </w:rPr>
        <w:t xml:space="preserve"> </w:t>
      </w:r>
      <w:r w:rsidRPr="00604DE2">
        <w:rPr>
          <w:rFonts w:asciiTheme="minorHAnsi" w:hAnsiTheme="minorHAnsi" w:cstheme="minorHAnsi"/>
        </w:rPr>
        <w:t xml:space="preserve">Michelle BATAILLE-LAURENT, Marie-Agnès BLANCO, Delphine COURTY, </w:t>
      </w:r>
      <w:r w:rsidR="00F73A4E" w:rsidRPr="00604DE2">
        <w:rPr>
          <w:rFonts w:asciiTheme="minorHAnsi" w:hAnsiTheme="minorHAnsi" w:cstheme="minorHAnsi"/>
        </w:rPr>
        <w:t>Guillaume FEDIT</w:t>
      </w:r>
      <w:r w:rsidR="00CD4FC3">
        <w:rPr>
          <w:rFonts w:asciiTheme="minorHAnsi" w:hAnsiTheme="minorHAnsi" w:cstheme="minorHAnsi"/>
        </w:rPr>
        <w:t>,</w:t>
      </w:r>
      <w:r w:rsidR="00F73A4E" w:rsidRPr="00604DE2">
        <w:rPr>
          <w:rFonts w:asciiTheme="minorHAnsi" w:hAnsiTheme="minorHAnsi" w:cstheme="minorHAnsi"/>
        </w:rPr>
        <w:t xml:space="preserve"> Olivier GRAND</w:t>
      </w:r>
      <w:r w:rsidR="00F73A4E">
        <w:rPr>
          <w:rFonts w:asciiTheme="minorHAnsi" w:hAnsiTheme="minorHAnsi" w:cstheme="minorHAnsi"/>
        </w:rPr>
        <w:t>,</w:t>
      </w:r>
      <w:r w:rsidR="00F73A4E" w:rsidRPr="00604DE2">
        <w:rPr>
          <w:rFonts w:asciiTheme="minorHAnsi" w:hAnsiTheme="minorHAnsi" w:cstheme="minorHAnsi"/>
        </w:rPr>
        <w:t xml:space="preserve"> </w:t>
      </w:r>
      <w:r w:rsidRPr="00604DE2">
        <w:rPr>
          <w:rFonts w:asciiTheme="minorHAnsi" w:hAnsiTheme="minorHAnsi" w:cstheme="minorHAnsi"/>
        </w:rPr>
        <w:t>Dominique LESCHIERA</w:t>
      </w:r>
      <w:r w:rsidR="008205D8" w:rsidRPr="00604DE2">
        <w:rPr>
          <w:rFonts w:asciiTheme="minorHAnsi" w:hAnsiTheme="minorHAnsi" w:cstheme="minorHAnsi"/>
        </w:rPr>
        <w:t>,</w:t>
      </w:r>
      <w:r w:rsidRPr="00604DE2">
        <w:rPr>
          <w:rFonts w:asciiTheme="minorHAnsi" w:hAnsiTheme="minorHAnsi" w:cstheme="minorHAnsi"/>
        </w:rPr>
        <w:t xml:space="preserve"> Jean-Pierre SAUVANT.</w:t>
      </w:r>
    </w:p>
    <w:p w14:paraId="1CEEA2FF" w14:textId="77777777" w:rsidR="00476549" w:rsidRPr="00604DE2" w:rsidRDefault="00476549" w:rsidP="009908A3">
      <w:pPr>
        <w:jc w:val="both"/>
        <w:rPr>
          <w:rFonts w:asciiTheme="minorHAnsi" w:hAnsiTheme="minorHAnsi" w:cstheme="minorHAnsi"/>
        </w:rPr>
      </w:pPr>
      <w:r w:rsidRPr="00604DE2">
        <w:rPr>
          <w:rFonts w:asciiTheme="minorHAnsi" w:hAnsiTheme="minorHAnsi" w:cstheme="minorHAnsi"/>
          <w:u w:val="single"/>
        </w:rPr>
        <w:t>Absents</w:t>
      </w:r>
      <w:r w:rsidRPr="00604DE2">
        <w:rPr>
          <w:rFonts w:asciiTheme="minorHAnsi" w:hAnsiTheme="minorHAnsi" w:cstheme="minorHAnsi"/>
        </w:rPr>
        <w:t> : Christophe BLANCHON</w:t>
      </w:r>
      <w:r w:rsidRPr="00604DE2">
        <w:rPr>
          <w:rFonts w:asciiTheme="minorHAnsi" w:hAnsiTheme="minorHAnsi" w:cstheme="minorHAnsi"/>
          <w:i/>
          <w:iCs/>
        </w:rPr>
        <w:t xml:space="preserve">, </w:t>
      </w:r>
      <w:r w:rsidR="00F73A4E" w:rsidRPr="00F73A4E">
        <w:rPr>
          <w:rFonts w:asciiTheme="minorHAnsi" w:hAnsiTheme="minorHAnsi" w:cstheme="minorHAnsi"/>
          <w:iCs/>
        </w:rPr>
        <w:t>Lucile CHATARD</w:t>
      </w:r>
      <w:r w:rsidRPr="00604DE2">
        <w:rPr>
          <w:rFonts w:asciiTheme="minorHAnsi" w:hAnsiTheme="minorHAnsi" w:cstheme="minorHAnsi"/>
          <w:i/>
          <w:iCs/>
        </w:rPr>
        <w:t>.</w:t>
      </w:r>
    </w:p>
    <w:p w14:paraId="09EFCF95" w14:textId="7387BB6A" w:rsidR="00476549" w:rsidRDefault="00604DE2" w:rsidP="0012469D">
      <w:pPr>
        <w:spacing w:before="120" w:after="120"/>
        <w:ind w:left="567" w:hanging="567"/>
        <w:jc w:val="center"/>
        <w:rPr>
          <w:rFonts w:asciiTheme="minorHAnsi" w:hAnsiTheme="minorHAnsi"/>
          <w:i/>
        </w:rPr>
      </w:pPr>
      <w:r w:rsidRPr="00604DE2">
        <w:rPr>
          <w:rFonts w:asciiTheme="minorHAnsi" w:hAnsiTheme="minorHAnsi"/>
          <w:i/>
        </w:rPr>
        <w:t>Tous les votes ont été acquis à l’unanimité</w:t>
      </w:r>
    </w:p>
    <w:p w14:paraId="392DBA68" w14:textId="77777777" w:rsidR="00E659CD" w:rsidRDefault="00E659CD" w:rsidP="0012469D">
      <w:pPr>
        <w:spacing w:before="120" w:after="120"/>
        <w:ind w:left="567" w:hanging="567"/>
        <w:jc w:val="center"/>
        <w:rPr>
          <w:rFonts w:asciiTheme="minorHAnsi" w:hAnsiTheme="minorHAnsi"/>
          <w:i/>
        </w:rPr>
      </w:pPr>
    </w:p>
    <w:p w14:paraId="4FFB2A6B" w14:textId="6620BA6D" w:rsidR="00476549" w:rsidRDefault="005F347F" w:rsidP="00E659CD">
      <w:pPr>
        <w:pStyle w:val="Titre2"/>
        <w:numPr>
          <w:ilvl w:val="0"/>
          <w:numId w:val="6"/>
        </w:numPr>
        <w:spacing w:before="120" w:after="120"/>
        <w:ind w:left="567" w:hanging="425"/>
        <w:rPr>
          <w:b/>
          <w:sz w:val="24"/>
          <w:szCs w:val="24"/>
          <w:u w:val="single"/>
        </w:rPr>
      </w:pPr>
      <w:r w:rsidRPr="00744DCC">
        <w:rPr>
          <w:b/>
          <w:sz w:val="24"/>
          <w:szCs w:val="24"/>
          <w:u w:val="single"/>
        </w:rPr>
        <w:t>Cantine scolaire</w:t>
      </w:r>
      <w:r w:rsidR="00C87E5A" w:rsidRPr="00744DCC">
        <w:rPr>
          <w:b/>
          <w:sz w:val="24"/>
          <w:szCs w:val="24"/>
          <w:u w:val="single"/>
        </w:rPr>
        <w:t> :</w:t>
      </w:r>
      <w:r w:rsidR="00C87E5A">
        <w:rPr>
          <w:b/>
          <w:sz w:val="24"/>
          <w:szCs w:val="24"/>
          <w:u w:val="single"/>
        </w:rPr>
        <w:t xml:space="preserve"> </w:t>
      </w:r>
      <w:r w:rsidR="00C87E5A" w:rsidRPr="00744DCC">
        <w:rPr>
          <w:b/>
          <w:sz w:val="20"/>
          <w:szCs w:val="20"/>
          <w:u w:val="single"/>
        </w:rPr>
        <w:t>plan de financement</w:t>
      </w:r>
      <w:r w:rsidR="00E659CD">
        <w:rPr>
          <w:b/>
          <w:sz w:val="20"/>
          <w:szCs w:val="20"/>
        </w:rPr>
        <w:t xml:space="preserve"> </w:t>
      </w:r>
      <w:r w:rsidR="00DD6C4B" w:rsidRPr="00DD6C4B">
        <w:rPr>
          <w:rFonts w:asciiTheme="minorHAnsi" w:hAnsiTheme="minorHAnsi"/>
          <w:i/>
          <w:color w:val="auto"/>
          <w:sz w:val="16"/>
          <w:szCs w:val="16"/>
        </w:rPr>
        <w:t>(copie de la délibération prise)</w:t>
      </w:r>
    </w:p>
    <w:p w14:paraId="719739EA" w14:textId="77777777" w:rsidR="00476549" w:rsidRPr="008036EF" w:rsidRDefault="00476549" w:rsidP="00E659CD">
      <w:pPr>
        <w:spacing w:before="120" w:after="120"/>
        <w:ind w:left="567" w:hanging="425"/>
        <w:jc w:val="both"/>
        <w:rPr>
          <w:rFonts w:asciiTheme="majorHAnsi" w:hAnsiTheme="majorHAnsi" w:cs="Calibri Light"/>
          <w:b/>
          <w:sz w:val="6"/>
          <w:szCs w:val="6"/>
        </w:rPr>
      </w:pPr>
    </w:p>
    <w:p w14:paraId="5195A730" w14:textId="4FF807E7" w:rsidR="006C553D" w:rsidRPr="00E659CD" w:rsidRDefault="00570E9E" w:rsidP="00E659CD">
      <w:pPr>
        <w:pStyle w:val="Corpsdetexte"/>
        <w:spacing w:before="120" w:after="120"/>
        <w:ind w:left="142"/>
        <w:rPr>
          <w:rFonts w:asciiTheme="minorHAnsi" w:hAnsiTheme="minorHAnsi" w:cs="Calibri Light"/>
          <w:iCs/>
          <w:sz w:val="20"/>
        </w:rPr>
      </w:pPr>
      <w:r w:rsidRPr="00E659CD">
        <w:rPr>
          <w:rFonts w:asciiTheme="minorHAnsi" w:hAnsiTheme="minorHAnsi" w:cs="Calibri Light"/>
          <w:iCs/>
          <w:sz w:val="20"/>
        </w:rPr>
        <w:t>« </w:t>
      </w:r>
      <w:r w:rsidR="006C553D" w:rsidRPr="00E659CD">
        <w:rPr>
          <w:rFonts w:asciiTheme="minorHAnsi" w:hAnsiTheme="minorHAnsi" w:cs="Calibri Light"/>
          <w:iCs/>
          <w:sz w:val="20"/>
        </w:rPr>
        <w:t>Au stade de l’avant projet détaillé, le coût de ce projet</w:t>
      </w:r>
      <w:r w:rsidR="00E659CD">
        <w:rPr>
          <w:rFonts w:asciiTheme="minorHAnsi" w:hAnsiTheme="minorHAnsi" w:cs="Calibri Light"/>
          <w:iCs/>
          <w:sz w:val="20"/>
        </w:rPr>
        <w:t>*</w:t>
      </w:r>
      <w:r w:rsidR="006C553D" w:rsidRPr="00E659CD">
        <w:rPr>
          <w:rFonts w:asciiTheme="minorHAnsi" w:hAnsiTheme="minorHAnsi" w:cs="Calibri Light"/>
          <w:iCs/>
          <w:sz w:val="20"/>
        </w:rPr>
        <w:t xml:space="preserve"> </w:t>
      </w:r>
      <w:r w:rsidR="00E659CD" w:rsidRPr="00E659CD">
        <w:rPr>
          <w:rFonts w:asciiTheme="minorHAnsi" w:hAnsiTheme="minorHAnsi" w:cs="Calibri Light"/>
          <w:i/>
          <w:sz w:val="20"/>
        </w:rPr>
        <w:t>(</w:t>
      </w:r>
      <w:r w:rsidR="00E659CD">
        <w:rPr>
          <w:rFonts w:asciiTheme="minorHAnsi" w:hAnsiTheme="minorHAnsi" w:cs="Calibri Light"/>
          <w:i/>
          <w:sz w:val="20"/>
        </w:rPr>
        <w:t xml:space="preserve">*projet total : </w:t>
      </w:r>
      <w:r w:rsidR="00E659CD" w:rsidRPr="00E659CD">
        <w:rPr>
          <w:rFonts w:asciiTheme="minorHAnsi" w:hAnsiTheme="minorHAnsi" w:cs="Calibri Light"/>
          <w:i/>
          <w:sz w:val="20"/>
        </w:rPr>
        <w:t>cantine + salle polyvalente)</w:t>
      </w:r>
      <w:r w:rsidR="00E659CD">
        <w:rPr>
          <w:rFonts w:asciiTheme="minorHAnsi" w:hAnsiTheme="minorHAnsi" w:cs="Calibri Light"/>
          <w:iCs/>
          <w:sz w:val="20"/>
        </w:rPr>
        <w:t xml:space="preserve"> </w:t>
      </w:r>
      <w:r w:rsidR="006C553D" w:rsidRPr="00E659CD">
        <w:rPr>
          <w:rFonts w:asciiTheme="minorHAnsi" w:hAnsiTheme="minorHAnsi" w:cs="Calibri Light"/>
          <w:iCs/>
          <w:sz w:val="20"/>
        </w:rPr>
        <w:t>s’établit comme suit :</w:t>
      </w:r>
    </w:p>
    <w:tbl>
      <w:tblPr>
        <w:tblW w:w="7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9"/>
        <w:gridCol w:w="1499"/>
      </w:tblGrid>
      <w:tr w:rsidR="006C553D" w:rsidRPr="00570E9E" w14:paraId="70530099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9D86" w:themeFill="accent1" w:themeFillTint="66"/>
            <w:noWrap/>
            <w:vAlign w:val="center"/>
            <w:hideMark/>
          </w:tcPr>
          <w:p w14:paraId="753BCCE7" w14:textId="77777777" w:rsidR="006C553D" w:rsidRPr="00E659CD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b/>
                <w:bCs/>
                <w:sz w:val="20"/>
              </w:rPr>
            </w:pPr>
            <w:r w:rsidRPr="00E659CD">
              <w:rPr>
                <w:rFonts w:asciiTheme="minorHAnsi" w:hAnsiTheme="minorHAnsi" w:cs="Calibri Light"/>
                <w:b/>
                <w:bCs/>
                <w:sz w:val="20"/>
              </w:rPr>
              <w:t>Travaux / lots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9D86" w:themeFill="accent1" w:themeFillTint="66"/>
            <w:noWrap/>
            <w:vAlign w:val="center"/>
            <w:hideMark/>
          </w:tcPr>
          <w:p w14:paraId="1230AC69" w14:textId="77777777" w:rsidR="006C553D" w:rsidRPr="00E659CD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b/>
                <w:bCs/>
                <w:sz w:val="20"/>
              </w:rPr>
            </w:pPr>
            <w:r w:rsidRPr="00E659CD">
              <w:rPr>
                <w:rFonts w:asciiTheme="minorHAnsi" w:hAnsiTheme="minorHAnsi" w:cs="Calibri Light"/>
                <w:b/>
                <w:bCs/>
                <w:sz w:val="20"/>
              </w:rPr>
              <w:t>Estimatif HT</w:t>
            </w:r>
          </w:p>
        </w:tc>
      </w:tr>
      <w:tr w:rsidR="006C553D" w:rsidRPr="00570E9E" w14:paraId="136A8639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E039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Dépollution amiante - plomb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C140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12 000,00</w:t>
            </w:r>
          </w:p>
        </w:tc>
      </w:tr>
      <w:tr w:rsidR="006C553D" w:rsidRPr="00570E9E" w14:paraId="4CEC14C2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079A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Démolitions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969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30 000,00</w:t>
            </w:r>
          </w:p>
        </w:tc>
      </w:tr>
      <w:tr w:rsidR="006C553D" w:rsidRPr="00570E9E" w14:paraId="3D64322A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3ACF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Gros œuvre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D2FE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154 000,00</w:t>
            </w:r>
          </w:p>
        </w:tc>
      </w:tr>
      <w:tr w:rsidR="006C553D" w:rsidRPr="00570E9E" w14:paraId="4BFFC2E5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5192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Enduits de façades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1F7C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32 000,00</w:t>
            </w:r>
          </w:p>
        </w:tc>
      </w:tr>
      <w:tr w:rsidR="006C553D" w:rsidRPr="00570E9E" w14:paraId="43E92B10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A5C8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Charpente bois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B449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43 000,00</w:t>
            </w:r>
          </w:p>
        </w:tc>
      </w:tr>
      <w:tr w:rsidR="006C553D" w:rsidRPr="00570E9E" w14:paraId="4AA93A7A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D6C8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Couverture tuiles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BEB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26 000,00</w:t>
            </w:r>
          </w:p>
        </w:tc>
      </w:tr>
      <w:tr w:rsidR="006C553D" w:rsidRPr="00570E9E" w14:paraId="017E4870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792" w14:textId="77777777" w:rsidR="006C553D" w:rsidRPr="00570E9E" w:rsidRDefault="00570E9E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>
              <w:rPr>
                <w:rFonts w:asciiTheme="minorHAnsi" w:hAnsiTheme="minorHAnsi" w:cs="Calibri Light"/>
                <w:sz w:val="20"/>
              </w:rPr>
              <w:t>É</w:t>
            </w:r>
            <w:r w:rsidR="006C553D" w:rsidRPr="00570E9E">
              <w:rPr>
                <w:rFonts w:asciiTheme="minorHAnsi" w:hAnsiTheme="minorHAnsi" w:cs="Calibri Light"/>
                <w:sz w:val="20"/>
              </w:rPr>
              <w:t>tanchéité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F04B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6 000,00</w:t>
            </w:r>
          </w:p>
        </w:tc>
      </w:tr>
      <w:tr w:rsidR="006C553D" w:rsidRPr="00570E9E" w14:paraId="5FAD7E24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A656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Menuiseries extérieures aluminium - serrurerie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0D2D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35 000,00</w:t>
            </w:r>
          </w:p>
        </w:tc>
      </w:tr>
      <w:tr w:rsidR="006C553D" w:rsidRPr="00570E9E" w14:paraId="6FAFB516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2297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Menuiseries intérieures bois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C9D4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44 000,00</w:t>
            </w:r>
          </w:p>
        </w:tc>
      </w:tr>
      <w:tr w:rsidR="006C553D" w:rsidRPr="00570E9E" w14:paraId="04AF9585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FC7C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Isolation - doublage - cloisons - plafonds - peinture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05AD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52 000,00</w:t>
            </w:r>
          </w:p>
        </w:tc>
      </w:tr>
      <w:tr w:rsidR="006C553D" w:rsidRPr="00570E9E" w14:paraId="02879C29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B05C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Carrelage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973B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20 000,00</w:t>
            </w:r>
          </w:p>
        </w:tc>
      </w:tr>
      <w:tr w:rsidR="006C553D" w:rsidRPr="00570E9E" w14:paraId="694E2AF4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8FB0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Chauffage - ventilation - plomberie - sanitaire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EA8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66 000,00</w:t>
            </w:r>
          </w:p>
        </w:tc>
      </w:tr>
      <w:tr w:rsidR="006C553D" w:rsidRPr="00570E9E" w14:paraId="1719EA27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D05E" w14:textId="77777777" w:rsidR="006C553D" w:rsidRPr="00570E9E" w:rsidRDefault="00570E9E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>
              <w:rPr>
                <w:rFonts w:asciiTheme="minorHAnsi" w:hAnsiTheme="minorHAnsi" w:cs="Calibri Light"/>
                <w:sz w:val="20"/>
              </w:rPr>
              <w:t>É</w:t>
            </w:r>
            <w:r w:rsidR="006C553D" w:rsidRPr="00570E9E">
              <w:rPr>
                <w:rFonts w:asciiTheme="minorHAnsi" w:hAnsiTheme="minorHAnsi" w:cs="Calibri Light"/>
                <w:sz w:val="20"/>
              </w:rPr>
              <w:t>lectricité - courants faibles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9E69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28 000,00</w:t>
            </w:r>
          </w:p>
        </w:tc>
      </w:tr>
      <w:tr w:rsidR="006C553D" w:rsidRPr="00570E9E" w14:paraId="064D7744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A2FF" w14:textId="77777777" w:rsidR="006C553D" w:rsidRPr="00570E9E" w:rsidRDefault="00570E9E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>
              <w:rPr>
                <w:rFonts w:asciiTheme="minorHAnsi" w:hAnsiTheme="minorHAnsi" w:cs="Calibri Light"/>
                <w:sz w:val="20"/>
              </w:rPr>
              <w:t>É</w:t>
            </w:r>
            <w:r w:rsidR="006C553D" w:rsidRPr="00570E9E">
              <w:rPr>
                <w:rFonts w:asciiTheme="minorHAnsi" w:hAnsiTheme="minorHAnsi" w:cs="Calibri Light"/>
                <w:sz w:val="20"/>
              </w:rPr>
              <w:t>quipements divers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FFC2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18 000,00</w:t>
            </w:r>
          </w:p>
        </w:tc>
      </w:tr>
      <w:tr w:rsidR="006C553D" w:rsidRPr="00570E9E" w14:paraId="56BABF18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319C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Ingénierie, bureau de contrôle, SPS, et divers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1992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84 900,00</w:t>
            </w:r>
          </w:p>
        </w:tc>
      </w:tr>
      <w:tr w:rsidR="006C553D" w:rsidRPr="00570E9E" w14:paraId="79E7E592" w14:textId="77777777" w:rsidTr="00E659CD">
        <w:trPr>
          <w:trHeight w:val="300"/>
          <w:jc w:val="center"/>
        </w:trPr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D961" w14:textId="77777777" w:rsidR="006C553D" w:rsidRPr="00E659CD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b/>
                <w:bCs/>
                <w:sz w:val="20"/>
              </w:rPr>
            </w:pPr>
            <w:r w:rsidRPr="00E659CD">
              <w:rPr>
                <w:rFonts w:asciiTheme="minorHAnsi" w:hAnsiTheme="minorHAnsi" w:cs="Calibri Light"/>
                <w:b/>
                <w:bCs/>
                <w:sz w:val="20"/>
              </w:rPr>
              <w:t>TOTAL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CEC2" w:themeFill="accent1" w:themeFillTint="33"/>
            <w:noWrap/>
            <w:vAlign w:val="center"/>
            <w:hideMark/>
          </w:tcPr>
          <w:p w14:paraId="5A3D3A06" w14:textId="77777777" w:rsidR="006C553D" w:rsidRPr="00E659CD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b/>
                <w:bCs/>
                <w:sz w:val="20"/>
              </w:rPr>
            </w:pPr>
            <w:r w:rsidRPr="00E659CD">
              <w:rPr>
                <w:rFonts w:asciiTheme="minorHAnsi" w:hAnsiTheme="minorHAnsi" w:cs="Calibri Light"/>
                <w:b/>
                <w:bCs/>
                <w:sz w:val="20"/>
              </w:rPr>
              <w:t>650 900,00</w:t>
            </w:r>
          </w:p>
        </w:tc>
      </w:tr>
    </w:tbl>
    <w:p w14:paraId="46E5B532" w14:textId="09CB5028" w:rsidR="00E659CD" w:rsidRPr="00E659CD" w:rsidRDefault="006C553D" w:rsidP="00E659CD">
      <w:pPr>
        <w:pStyle w:val="Corpsdetexte"/>
        <w:spacing w:before="120" w:after="120"/>
        <w:ind w:left="142"/>
        <w:rPr>
          <w:rFonts w:asciiTheme="minorHAnsi" w:hAnsiTheme="minorHAnsi" w:cs="Calibri Light"/>
          <w:iCs/>
          <w:sz w:val="20"/>
        </w:rPr>
      </w:pPr>
      <w:r w:rsidRPr="00E659CD">
        <w:rPr>
          <w:rFonts w:asciiTheme="minorHAnsi" w:hAnsiTheme="minorHAnsi" w:cs="Calibri Light"/>
          <w:iCs/>
          <w:sz w:val="20"/>
        </w:rPr>
        <w:t>La ventilation des deux composantes de ce projet a été réalisée à partir de la superficie de la salle multi-activités (134,37 m² soit 76,47 %) et de la cantine (41,35 m² soit 23,53 %).</w:t>
      </w:r>
      <w:r w:rsidR="00E659CD">
        <w:rPr>
          <w:rFonts w:asciiTheme="minorHAnsi" w:hAnsiTheme="minorHAnsi" w:cs="Calibri Light"/>
          <w:iCs/>
          <w:sz w:val="20"/>
        </w:rPr>
        <w:t xml:space="preserve"> </w:t>
      </w:r>
      <w:r w:rsidRPr="00E659CD">
        <w:rPr>
          <w:rFonts w:asciiTheme="minorHAnsi" w:hAnsiTheme="minorHAnsi" w:cs="Calibri Light"/>
          <w:iCs/>
          <w:sz w:val="20"/>
        </w:rPr>
        <w:t>Le financement de la salle multi-activités est assuré par deux subventions obtenues en 2022 de l’</w:t>
      </w:r>
      <w:r w:rsidR="00570E9E" w:rsidRPr="00E659CD">
        <w:rPr>
          <w:rFonts w:asciiTheme="minorHAnsi" w:hAnsiTheme="minorHAnsi" w:cs="Calibri Light"/>
          <w:iCs/>
          <w:sz w:val="20"/>
        </w:rPr>
        <w:t>É</w:t>
      </w:r>
      <w:r w:rsidRPr="00E659CD">
        <w:rPr>
          <w:rFonts w:asciiTheme="minorHAnsi" w:hAnsiTheme="minorHAnsi" w:cs="Calibri Light"/>
          <w:iCs/>
          <w:sz w:val="20"/>
        </w:rPr>
        <w:t>tat, au titre de la DETR, et de l’Europe, au titre du FEADER.</w:t>
      </w:r>
      <w:r w:rsidR="00E659CD">
        <w:rPr>
          <w:rFonts w:asciiTheme="minorHAnsi" w:hAnsiTheme="minorHAnsi" w:cs="Calibri Light"/>
          <w:iCs/>
          <w:sz w:val="20"/>
        </w:rPr>
        <w:t xml:space="preserve"> </w:t>
      </w:r>
      <w:r w:rsidRPr="00E659CD">
        <w:rPr>
          <w:rFonts w:asciiTheme="minorHAnsi" w:hAnsiTheme="minorHAnsi" w:cs="Calibri Light"/>
          <w:iCs/>
          <w:sz w:val="20"/>
        </w:rPr>
        <w:t>Le plan de financement de la partie cantine pourrait être le suivant :</w:t>
      </w:r>
    </w:p>
    <w:tbl>
      <w:tblPr>
        <w:tblW w:w="79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5"/>
        <w:gridCol w:w="1380"/>
        <w:gridCol w:w="1381"/>
        <w:gridCol w:w="1381"/>
      </w:tblGrid>
      <w:tr w:rsidR="006C553D" w:rsidRPr="00570E9E" w14:paraId="2FD3C9B2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9D86" w:themeFill="accent1" w:themeFillTint="66"/>
            <w:noWrap/>
            <w:vAlign w:val="bottom"/>
            <w:hideMark/>
          </w:tcPr>
          <w:p w14:paraId="5778C521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Plan de financement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9D86" w:themeFill="accent1" w:themeFillTint="66"/>
            <w:noWrap/>
            <w:vAlign w:val="bottom"/>
            <w:hideMark/>
          </w:tcPr>
          <w:p w14:paraId="4F2F5628" w14:textId="77777777" w:rsidR="006C553D" w:rsidRPr="00570E9E" w:rsidRDefault="006C553D" w:rsidP="00E659CD">
            <w:pPr>
              <w:pStyle w:val="Corpsdetexte"/>
              <w:ind w:left="142"/>
              <w:jc w:val="center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Total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9D86" w:themeFill="accent1" w:themeFillTint="66"/>
            <w:noWrap/>
            <w:vAlign w:val="bottom"/>
            <w:hideMark/>
          </w:tcPr>
          <w:p w14:paraId="66092E32" w14:textId="77777777" w:rsidR="006C553D" w:rsidRPr="00570E9E" w:rsidRDefault="006C553D" w:rsidP="00E659CD">
            <w:pPr>
              <w:pStyle w:val="Corpsdetexte"/>
              <w:ind w:left="142"/>
              <w:jc w:val="center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salle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9D86" w:themeFill="accent1" w:themeFillTint="66"/>
            <w:noWrap/>
            <w:vAlign w:val="bottom"/>
            <w:hideMark/>
          </w:tcPr>
          <w:p w14:paraId="093E2310" w14:textId="77777777" w:rsidR="006C553D" w:rsidRPr="00570E9E" w:rsidRDefault="006C553D" w:rsidP="00E659CD">
            <w:pPr>
              <w:pStyle w:val="Corpsdetexte"/>
              <w:ind w:left="142"/>
              <w:jc w:val="center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cantine</w:t>
            </w:r>
          </w:p>
        </w:tc>
      </w:tr>
      <w:tr w:rsidR="006C553D" w:rsidRPr="00570E9E" w14:paraId="18D58BA4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83EF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Ingénierie, bureau de contrôle, 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5299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84 900,00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8B47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64 923,03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F883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19 976,97</w:t>
            </w:r>
          </w:p>
        </w:tc>
      </w:tr>
      <w:tr w:rsidR="006C553D" w:rsidRPr="00570E9E" w14:paraId="6C930B92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215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Travaux 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F9C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566 000,00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77AA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432 820,20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6F21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133 179,80</w:t>
            </w:r>
          </w:p>
        </w:tc>
      </w:tr>
      <w:tr w:rsidR="006C553D" w:rsidRPr="00570E9E" w14:paraId="78844A98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4ED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Prix de revient HT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6FBA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650 900,00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EE11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497 743,23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BE31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153 156,77</w:t>
            </w:r>
          </w:p>
        </w:tc>
      </w:tr>
      <w:tr w:rsidR="006C553D" w:rsidRPr="00570E9E" w14:paraId="0E74575E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9F89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Etat : DETR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F70D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195 270,00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4F9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149 322,97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F9D5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45 947,03</w:t>
            </w:r>
          </w:p>
        </w:tc>
      </w:tr>
      <w:tr w:rsidR="006C553D" w:rsidRPr="00570E9E" w14:paraId="672AA574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75B6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Etat : bonus bois (DETR)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8250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9 750,00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FD93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7 455,83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A0F4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2 294,18</w:t>
            </w:r>
          </w:p>
        </w:tc>
      </w:tr>
      <w:tr w:rsidR="006C553D" w:rsidRPr="00570E9E" w14:paraId="47D89332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3CC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Etat : bonus énergie (DETR)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FF17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9 750,00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100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7 455,83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B6F4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2 294,18</w:t>
            </w:r>
          </w:p>
        </w:tc>
      </w:tr>
      <w:tr w:rsidR="006C553D" w:rsidRPr="00570E9E" w14:paraId="54C8E25E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B5DC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Département : FIC 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AACF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61 262,71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B01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BD85F4" w14:textId="77777777" w:rsidR="006C553D" w:rsidRPr="00EA71B7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EA71B7">
              <w:rPr>
                <w:rFonts w:asciiTheme="minorHAnsi" w:hAnsiTheme="minorHAnsi" w:cs="Calibri Light"/>
                <w:sz w:val="20"/>
              </w:rPr>
              <w:t>61 262,71</w:t>
            </w:r>
          </w:p>
        </w:tc>
      </w:tr>
      <w:tr w:rsidR="006C553D" w:rsidRPr="00570E9E" w14:paraId="318FED04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7C6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Département : bonus bois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E8C8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2 294,18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967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0BAED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2 294,18</w:t>
            </w:r>
          </w:p>
        </w:tc>
      </w:tr>
      <w:tr w:rsidR="006C553D" w:rsidRPr="00570E9E" w14:paraId="4DECD87E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80E6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Département : bonus énergie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E93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2 294,18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3388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E5B20F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2 294,18</w:t>
            </w:r>
          </w:p>
        </w:tc>
      </w:tr>
      <w:tr w:rsidR="006C553D" w:rsidRPr="00570E9E" w14:paraId="7D90BDC5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3B1C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Feader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52C6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176 177,00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936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176 177,00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39F1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</w:p>
        </w:tc>
      </w:tr>
      <w:tr w:rsidR="006C553D" w:rsidRPr="00570E9E" w14:paraId="0E224049" w14:textId="77777777" w:rsidTr="00E659CD">
        <w:trPr>
          <w:trHeight w:val="300"/>
          <w:jc w:val="center"/>
        </w:trPr>
        <w:tc>
          <w:tcPr>
            <w:tcW w:w="3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2BFF" w14:textId="77777777" w:rsidR="006C553D" w:rsidRPr="00570E9E" w:rsidRDefault="006C553D" w:rsidP="00E659CD">
            <w:pPr>
              <w:pStyle w:val="Corpsdetexte"/>
              <w:ind w:left="142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API : fonds de concours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22C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6 138,98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857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D49BA" w14:textId="77777777" w:rsidR="006C553D" w:rsidRPr="00570E9E" w:rsidRDefault="006C553D" w:rsidP="00E659CD">
            <w:pPr>
              <w:pStyle w:val="Corpsdetexte"/>
              <w:ind w:left="142"/>
              <w:jc w:val="right"/>
              <w:rPr>
                <w:rFonts w:asciiTheme="minorHAnsi" w:hAnsiTheme="minorHAnsi" w:cs="Calibri Light"/>
                <w:sz w:val="20"/>
              </w:rPr>
            </w:pPr>
            <w:r w:rsidRPr="00570E9E">
              <w:rPr>
                <w:rFonts w:asciiTheme="minorHAnsi" w:hAnsiTheme="minorHAnsi" w:cs="Calibri Light"/>
                <w:sz w:val="20"/>
              </w:rPr>
              <w:t>6 138,98</w:t>
            </w:r>
          </w:p>
        </w:tc>
      </w:tr>
    </w:tbl>
    <w:p w14:paraId="5308F095" w14:textId="77777777" w:rsidR="006C553D" w:rsidRPr="00E659CD" w:rsidRDefault="006C553D" w:rsidP="00910251">
      <w:pPr>
        <w:pStyle w:val="Corpsdetexte"/>
        <w:ind w:left="142"/>
        <w:rPr>
          <w:rFonts w:asciiTheme="minorHAnsi" w:hAnsiTheme="minorHAnsi" w:cs="Calibri Light"/>
          <w:iCs/>
          <w:sz w:val="20"/>
        </w:rPr>
      </w:pPr>
      <w:r w:rsidRPr="00E659CD">
        <w:rPr>
          <w:rFonts w:asciiTheme="minorHAnsi" w:hAnsiTheme="minorHAnsi" w:cs="Calibri Light"/>
          <w:iCs/>
          <w:sz w:val="20"/>
        </w:rPr>
        <w:lastRenderedPageBreak/>
        <w:t>Après délibération et à l’unanimité, le conseil municipal :</w:t>
      </w:r>
    </w:p>
    <w:p w14:paraId="101CD756" w14:textId="60177DE6" w:rsidR="00E659CD" w:rsidRDefault="006C553D" w:rsidP="00910251">
      <w:pPr>
        <w:pStyle w:val="Corpsdetexte"/>
        <w:numPr>
          <w:ilvl w:val="0"/>
          <w:numId w:val="14"/>
        </w:numPr>
        <w:ind w:left="851" w:hanging="218"/>
        <w:rPr>
          <w:rFonts w:asciiTheme="minorHAnsi" w:hAnsiTheme="minorHAnsi" w:cs="Calibri Light"/>
          <w:iCs/>
          <w:sz w:val="20"/>
        </w:rPr>
      </w:pPr>
      <w:r w:rsidRPr="00E659CD">
        <w:rPr>
          <w:rFonts w:asciiTheme="minorHAnsi" w:hAnsiTheme="minorHAnsi" w:cs="Calibri Light"/>
          <w:iCs/>
          <w:sz w:val="20"/>
        </w:rPr>
        <w:t>approuve le plan de financement ci-dessus</w:t>
      </w:r>
      <w:r w:rsidR="00910251">
        <w:rPr>
          <w:rFonts w:asciiTheme="minorHAnsi" w:hAnsiTheme="minorHAnsi" w:cs="Calibri Light"/>
          <w:iCs/>
          <w:sz w:val="20"/>
        </w:rPr>
        <w:t>;</w:t>
      </w:r>
    </w:p>
    <w:p w14:paraId="5DAA5E39" w14:textId="0ECA3DD5" w:rsidR="00E659CD" w:rsidRDefault="006C553D" w:rsidP="00910251">
      <w:pPr>
        <w:pStyle w:val="Corpsdetexte"/>
        <w:numPr>
          <w:ilvl w:val="0"/>
          <w:numId w:val="14"/>
        </w:numPr>
        <w:ind w:left="851" w:hanging="218"/>
        <w:rPr>
          <w:rFonts w:asciiTheme="minorHAnsi" w:hAnsiTheme="minorHAnsi" w:cs="Calibri Light"/>
          <w:iCs/>
          <w:sz w:val="20"/>
        </w:rPr>
      </w:pPr>
      <w:r w:rsidRPr="00E659CD">
        <w:rPr>
          <w:rFonts w:asciiTheme="minorHAnsi" w:hAnsiTheme="minorHAnsi" w:cs="Calibri Light"/>
          <w:iCs/>
          <w:sz w:val="20"/>
        </w:rPr>
        <w:t>mandate son maire pour solliciter toutes les subventions figurant à ce plan</w:t>
      </w:r>
      <w:r w:rsidR="00910251">
        <w:rPr>
          <w:rFonts w:asciiTheme="minorHAnsi" w:hAnsiTheme="minorHAnsi" w:cs="Calibri Light"/>
          <w:iCs/>
          <w:sz w:val="20"/>
        </w:rPr>
        <w:t>;</w:t>
      </w:r>
    </w:p>
    <w:p w14:paraId="70BA89A5" w14:textId="2E694383" w:rsidR="006C553D" w:rsidRDefault="006C553D" w:rsidP="00910251">
      <w:pPr>
        <w:pStyle w:val="Corpsdetexte"/>
        <w:numPr>
          <w:ilvl w:val="0"/>
          <w:numId w:val="14"/>
        </w:numPr>
        <w:ind w:left="850" w:hanging="215"/>
        <w:rPr>
          <w:rFonts w:asciiTheme="minorHAnsi" w:hAnsiTheme="minorHAnsi" w:cs="Calibri Light"/>
          <w:iCs/>
          <w:sz w:val="20"/>
        </w:rPr>
      </w:pPr>
      <w:r w:rsidRPr="00E659CD">
        <w:rPr>
          <w:rFonts w:asciiTheme="minorHAnsi" w:hAnsiTheme="minorHAnsi" w:cs="Calibri Light"/>
          <w:iCs/>
          <w:sz w:val="20"/>
        </w:rPr>
        <w:t>mandate son maire pour accomplir toutes les formalités liées à ce projet.</w:t>
      </w:r>
      <w:r w:rsidR="00EA71B7" w:rsidRPr="00E659CD">
        <w:rPr>
          <w:rFonts w:asciiTheme="minorHAnsi" w:hAnsiTheme="minorHAnsi" w:cs="Calibri Light"/>
          <w:iCs/>
          <w:sz w:val="20"/>
        </w:rPr>
        <w:t> »</w:t>
      </w:r>
    </w:p>
    <w:p w14:paraId="174FB8BB" w14:textId="77777777" w:rsidR="00E659CD" w:rsidRPr="00E659CD" w:rsidRDefault="00E659CD" w:rsidP="00E659CD">
      <w:pPr>
        <w:pStyle w:val="Corpsdetexte"/>
        <w:spacing w:before="120"/>
        <w:rPr>
          <w:rFonts w:asciiTheme="minorHAnsi" w:hAnsiTheme="minorHAnsi" w:cs="Calibri Light"/>
          <w:iCs/>
          <w:sz w:val="20"/>
        </w:rPr>
      </w:pPr>
    </w:p>
    <w:p w14:paraId="3F3F60E0" w14:textId="77777777" w:rsidR="00476549" w:rsidRPr="003052F0" w:rsidRDefault="00854F99" w:rsidP="00E659CD">
      <w:pPr>
        <w:pStyle w:val="Titre2"/>
        <w:numPr>
          <w:ilvl w:val="0"/>
          <w:numId w:val="6"/>
        </w:numPr>
        <w:spacing w:before="120" w:after="120"/>
        <w:ind w:left="567" w:hanging="425"/>
        <w:rPr>
          <w:b/>
          <w:sz w:val="24"/>
          <w:szCs w:val="24"/>
        </w:rPr>
      </w:pPr>
      <w:r w:rsidRPr="00744DCC">
        <w:rPr>
          <w:rFonts w:asciiTheme="minorHAnsi" w:hAnsiTheme="minorHAnsi" w:cs="Calibri Light"/>
          <w:b/>
          <w:sz w:val="24"/>
          <w:szCs w:val="24"/>
          <w:u w:val="single"/>
        </w:rPr>
        <w:t>É</w:t>
      </w:r>
      <w:r w:rsidR="00AF23A4" w:rsidRPr="00744DCC">
        <w:rPr>
          <w:b/>
          <w:sz w:val="24"/>
          <w:szCs w:val="24"/>
          <w:u w:val="single"/>
        </w:rPr>
        <w:t>clairage public :</w:t>
      </w:r>
      <w:r w:rsidR="00AF23A4">
        <w:rPr>
          <w:b/>
          <w:sz w:val="24"/>
          <w:szCs w:val="24"/>
          <w:u w:val="single"/>
        </w:rPr>
        <w:t xml:space="preserve"> </w:t>
      </w:r>
      <w:r w:rsidR="00AF23A4" w:rsidRPr="00744DCC">
        <w:rPr>
          <w:b/>
          <w:sz w:val="20"/>
          <w:szCs w:val="20"/>
          <w:u w:val="single"/>
        </w:rPr>
        <w:t>o</w:t>
      </w:r>
      <w:r w:rsidR="00BB57C8" w:rsidRPr="00744DCC">
        <w:rPr>
          <w:b/>
          <w:sz w:val="20"/>
          <w:szCs w:val="20"/>
          <w:u w:val="single"/>
        </w:rPr>
        <w:t>ptimisation des systèmes de gestion</w:t>
      </w:r>
    </w:p>
    <w:p w14:paraId="6E0C75F7" w14:textId="77961ABE" w:rsidR="006326D1" w:rsidRDefault="00ED4890" w:rsidP="00E659CD">
      <w:pPr>
        <w:pStyle w:val="Corpsdetexte"/>
        <w:spacing w:before="120" w:after="120"/>
        <w:ind w:left="142"/>
        <w:rPr>
          <w:rFonts w:asciiTheme="minorHAnsi" w:hAnsiTheme="minorHAnsi" w:cs="Calibri Light"/>
          <w:sz w:val="20"/>
        </w:rPr>
      </w:pPr>
      <w:r>
        <w:rPr>
          <w:rFonts w:asciiTheme="minorHAnsi" w:hAnsiTheme="minorHAnsi" w:cs="Calibri Light"/>
          <w:sz w:val="20"/>
        </w:rPr>
        <w:t xml:space="preserve">Le </w:t>
      </w:r>
      <w:r w:rsidRPr="00ED4890">
        <w:rPr>
          <w:rFonts w:asciiTheme="minorHAnsi" w:hAnsiTheme="minorHAnsi" w:cs="Calibri Light"/>
          <w:sz w:val="20"/>
        </w:rPr>
        <w:t xml:space="preserve">conseil </w:t>
      </w:r>
      <w:r>
        <w:rPr>
          <w:rFonts w:asciiTheme="minorHAnsi" w:hAnsiTheme="minorHAnsi" w:cs="Calibri Light"/>
          <w:sz w:val="20"/>
        </w:rPr>
        <w:t>retient le</w:t>
      </w:r>
      <w:r w:rsidRPr="00ED4890">
        <w:rPr>
          <w:rFonts w:asciiTheme="minorHAnsi" w:hAnsiTheme="minorHAnsi" w:cs="Calibri Light"/>
          <w:sz w:val="20"/>
        </w:rPr>
        <w:t xml:space="preserve"> projet d’optimisation des systèmes de gestion de l’éclairage p</w:t>
      </w:r>
      <w:r w:rsidR="003961C4">
        <w:rPr>
          <w:rFonts w:asciiTheme="minorHAnsi" w:hAnsiTheme="minorHAnsi" w:cs="Calibri Light"/>
          <w:sz w:val="20"/>
        </w:rPr>
        <w:t>ublic réalisé par Territoire d’É</w:t>
      </w:r>
      <w:r w:rsidR="003961C4" w:rsidRPr="00ED4890">
        <w:rPr>
          <w:rFonts w:asciiTheme="minorHAnsi" w:hAnsiTheme="minorHAnsi" w:cs="Calibri Light"/>
          <w:sz w:val="20"/>
        </w:rPr>
        <w:t>nergie</w:t>
      </w:r>
      <w:r w:rsidRPr="00ED4890">
        <w:rPr>
          <w:rFonts w:asciiTheme="minorHAnsi" w:hAnsiTheme="minorHAnsi" w:cs="Calibri Light"/>
          <w:sz w:val="20"/>
        </w:rPr>
        <w:t xml:space="preserve"> Puy-de-Dôme </w:t>
      </w:r>
      <w:r w:rsidR="00BB57C8" w:rsidRPr="00ED4890">
        <w:rPr>
          <w:rFonts w:asciiTheme="minorHAnsi" w:hAnsiTheme="minorHAnsi" w:cs="Calibri Light"/>
          <w:sz w:val="20"/>
        </w:rPr>
        <w:t>(ex Syndicat Intercommunal de l’</w:t>
      </w:r>
      <w:r w:rsidR="003961C4">
        <w:rPr>
          <w:rFonts w:asciiTheme="minorHAnsi" w:hAnsiTheme="minorHAnsi" w:cs="Calibri Light"/>
          <w:sz w:val="20"/>
        </w:rPr>
        <w:t>É</w:t>
      </w:r>
      <w:r w:rsidR="00BB57C8" w:rsidRPr="00ED4890">
        <w:rPr>
          <w:rFonts w:asciiTheme="minorHAnsi" w:hAnsiTheme="minorHAnsi" w:cs="Calibri Light"/>
          <w:sz w:val="20"/>
        </w:rPr>
        <w:t>lectricité et du Gaz - SIEG</w:t>
      </w:r>
      <w:r w:rsidR="00BB57C8">
        <w:rPr>
          <w:rFonts w:asciiTheme="minorHAnsi" w:hAnsiTheme="minorHAnsi"/>
          <w:sz w:val="20"/>
          <w:lang w:val="fr-FR"/>
        </w:rPr>
        <w:t>)</w:t>
      </w:r>
      <w:r w:rsidR="006326D1">
        <w:rPr>
          <w:rFonts w:asciiTheme="minorHAnsi" w:hAnsiTheme="minorHAnsi"/>
          <w:sz w:val="20"/>
          <w:lang w:val="fr-FR"/>
        </w:rPr>
        <w:t>.</w:t>
      </w:r>
      <w:r w:rsidR="00E659CD">
        <w:rPr>
          <w:rFonts w:asciiTheme="minorHAnsi" w:hAnsiTheme="minorHAnsi"/>
          <w:sz w:val="20"/>
          <w:lang w:val="fr-FR"/>
        </w:rPr>
        <w:t xml:space="preserve"> </w:t>
      </w:r>
      <w:r w:rsidR="006326D1">
        <w:rPr>
          <w:rFonts w:asciiTheme="minorHAnsi" w:hAnsiTheme="minorHAnsi" w:cs="Calibri Light"/>
          <w:sz w:val="20"/>
        </w:rPr>
        <w:t>Il s’agit de remplacer des interrupteurs crépusculaires par des horloges astronomiques, avec un gain attendu sur le temps d’allumage de 5 à 6 %.</w:t>
      </w:r>
    </w:p>
    <w:p w14:paraId="6F167771" w14:textId="548CD233" w:rsidR="006326D1" w:rsidRDefault="006326D1" w:rsidP="00E659CD">
      <w:pPr>
        <w:pStyle w:val="Corpsdetexte"/>
        <w:spacing w:before="120" w:after="120"/>
        <w:ind w:left="142"/>
        <w:rPr>
          <w:rFonts w:asciiTheme="minorHAnsi" w:hAnsiTheme="minorHAnsi" w:cs="Calibri Light"/>
          <w:sz w:val="20"/>
        </w:rPr>
      </w:pPr>
      <w:r>
        <w:rPr>
          <w:rFonts w:asciiTheme="minorHAnsi" w:hAnsiTheme="minorHAnsi" w:cs="Calibri Light"/>
          <w:sz w:val="20"/>
        </w:rPr>
        <w:t>Cette opération, subventionnée à 90 %, laisse un reste à charge de 270 € pour la commune.</w:t>
      </w:r>
    </w:p>
    <w:p w14:paraId="3968CD03" w14:textId="77777777" w:rsidR="00E659CD" w:rsidRDefault="00E659CD" w:rsidP="00E659CD">
      <w:pPr>
        <w:pStyle w:val="Corpsdetexte"/>
        <w:spacing w:before="120" w:after="120"/>
        <w:ind w:left="142"/>
        <w:rPr>
          <w:rFonts w:asciiTheme="minorHAnsi" w:hAnsiTheme="minorHAnsi" w:cs="Calibri Light"/>
          <w:sz w:val="20"/>
        </w:rPr>
      </w:pPr>
    </w:p>
    <w:p w14:paraId="4BF12DD9" w14:textId="197B5AAE" w:rsidR="004C37B9" w:rsidRPr="009B7C7F" w:rsidRDefault="00744DCC" w:rsidP="00E659CD">
      <w:pPr>
        <w:pStyle w:val="Titre2"/>
        <w:numPr>
          <w:ilvl w:val="0"/>
          <w:numId w:val="6"/>
        </w:numPr>
        <w:spacing w:before="120" w:after="120"/>
        <w:ind w:left="567" w:hanging="425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 diverses</w:t>
      </w:r>
      <w:r w:rsidR="009B7C7F" w:rsidRPr="009B7C7F">
        <w:rPr>
          <w:b/>
          <w:sz w:val="24"/>
          <w:szCs w:val="24"/>
        </w:rPr>
        <w:t> </w:t>
      </w:r>
    </w:p>
    <w:p w14:paraId="7E78CB26" w14:textId="6B2DD226" w:rsidR="008745F9" w:rsidRDefault="00744DCC" w:rsidP="00E659CD">
      <w:pPr>
        <w:pStyle w:val="Paragraphedeliste"/>
        <w:numPr>
          <w:ilvl w:val="0"/>
          <w:numId w:val="15"/>
        </w:numPr>
        <w:spacing w:before="120" w:after="120"/>
        <w:jc w:val="both"/>
        <w:rPr>
          <w:rFonts w:asciiTheme="minorHAnsi" w:hAnsiTheme="minorHAnsi" w:cs="Calibri Light"/>
        </w:rPr>
      </w:pPr>
      <w:r w:rsidRPr="00E659CD">
        <w:rPr>
          <w:rStyle w:val="Titre3Car"/>
        </w:rPr>
        <w:t>Bois de chauffage</w:t>
      </w:r>
      <w:r w:rsidR="00E659CD">
        <w:rPr>
          <w:rFonts w:asciiTheme="minorHAnsi" w:hAnsiTheme="minorHAnsi" w:cs="Calibri Light"/>
        </w:rPr>
        <w:t>. D</w:t>
      </w:r>
      <w:r w:rsidR="008745F9" w:rsidRPr="00E659CD">
        <w:rPr>
          <w:rFonts w:asciiTheme="minorHAnsi" w:hAnsiTheme="minorHAnsi" w:cs="Calibri Light"/>
        </w:rPr>
        <w:t xml:space="preserve">isponible au prix de 50 € le stère, livré </w:t>
      </w:r>
      <w:r w:rsidR="00E659CD">
        <w:rPr>
          <w:rFonts w:asciiTheme="minorHAnsi" w:hAnsiTheme="minorHAnsi" w:cs="Calibri Light"/>
        </w:rPr>
        <w:t xml:space="preserve">et </w:t>
      </w:r>
      <w:r w:rsidR="008745F9" w:rsidRPr="00E659CD">
        <w:rPr>
          <w:rFonts w:asciiTheme="minorHAnsi" w:hAnsiTheme="minorHAnsi" w:cs="Calibri Light"/>
        </w:rPr>
        <w:t>coupé en longueur de 1 mètre</w:t>
      </w:r>
      <w:r w:rsidR="00E659CD">
        <w:rPr>
          <w:rFonts w:asciiTheme="minorHAnsi" w:hAnsiTheme="minorHAnsi" w:cs="Calibri Light"/>
        </w:rPr>
        <w:t>. S</w:t>
      </w:r>
      <w:r w:rsidR="008745F9" w:rsidRPr="00E659CD">
        <w:rPr>
          <w:rFonts w:asciiTheme="minorHAnsi" w:hAnsiTheme="minorHAnsi" w:cs="Calibri Light"/>
        </w:rPr>
        <w:t>ur demande en mairie ou auprès de Rico.</w:t>
      </w:r>
    </w:p>
    <w:p w14:paraId="070254B0" w14:textId="77777777" w:rsidR="00E659CD" w:rsidRDefault="00E659CD" w:rsidP="00E659CD">
      <w:pPr>
        <w:pStyle w:val="Paragraphedeliste"/>
        <w:spacing w:before="120" w:after="120"/>
        <w:ind w:left="862"/>
        <w:jc w:val="both"/>
        <w:rPr>
          <w:rFonts w:asciiTheme="minorHAnsi" w:hAnsiTheme="minorHAnsi" w:cs="Calibri Light"/>
        </w:rPr>
      </w:pPr>
    </w:p>
    <w:p w14:paraId="7B167187" w14:textId="2ABDDF0A" w:rsidR="001068DC" w:rsidRPr="00E659CD" w:rsidRDefault="00E659CD" w:rsidP="00E659CD">
      <w:pPr>
        <w:pStyle w:val="Paragraphedeliste"/>
        <w:numPr>
          <w:ilvl w:val="0"/>
          <w:numId w:val="15"/>
        </w:numPr>
        <w:spacing w:before="120" w:after="120"/>
        <w:jc w:val="both"/>
        <w:rPr>
          <w:rFonts w:asciiTheme="minorHAnsi" w:hAnsiTheme="minorHAnsi" w:cs="Calibri Light"/>
        </w:rPr>
      </w:pPr>
      <w:r>
        <w:rPr>
          <w:rFonts w:asciiTheme="minorHAnsi" w:hAnsiTheme="minorHAnsi" w:cs="Calibri Light"/>
        </w:rPr>
        <w:t>S</w:t>
      </w:r>
      <w:r w:rsidR="00A0575C" w:rsidRPr="00E659CD">
        <w:rPr>
          <w:rStyle w:val="Titre3Car"/>
        </w:rPr>
        <w:t>olaire photovoltaïque</w:t>
      </w:r>
      <w:r>
        <w:rPr>
          <w:rStyle w:val="Titre3Car"/>
        </w:rPr>
        <w:t>.</w:t>
      </w:r>
      <w:r w:rsidR="00A0575C" w:rsidRPr="00E659CD">
        <w:rPr>
          <w:rFonts w:asciiTheme="minorHAnsi" w:hAnsiTheme="minorHAnsi" w:cs="Calibri Light"/>
        </w:rPr>
        <w:t> </w:t>
      </w:r>
      <w:r>
        <w:rPr>
          <w:rFonts w:asciiTheme="minorHAnsi" w:hAnsiTheme="minorHAnsi" w:cs="Calibri Light"/>
        </w:rPr>
        <w:t>S</w:t>
      </w:r>
      <w:r w:rsidR="00A0575C" w:rsidRPr="00E659CD">
        <w:rPr>
          <w:rFonts w:asciiTheme="minorHAnsi" w:hAnsiTheme="minorHAnsi" w:cs="Calibri Light"/>
        </w:rPr>
        <w:t>uite à l’étude d’opportunité réalisée</w:t>
      </w:r>
      <w:r w:rsidR="001068DC" w:rsidRPr="00E659CD">
        <w:rPr>
          <w:rFonts w:asciiTheme="minorHAnsi" w:hAnsiTheme="minorHAnsi" w:cs="Calibri Light"/>
        </w:rPr>
        <w:t>, la commune retient l</w:t>
      </w:r>
      <w:r>
        <w:rPr>
          <w:rFonts w:asciiTheme="minorHAnsi" w:hAnsiTheme="minorHAnsi" w:cs="Calibri Light"/>
        </w:rPr>
        <w:t xml:space="preserve">a possibilité d’une </w:t>
      </w:r>
      <w:r w:rsidR="001068DC" w:rsidRPr="00E659CD">
        <w:rPr>
          <w:rFonts w:asciiTheme="minorHAnsi" w:hAnsiTheme="minorHAnsi" w:cs="Calibri Light"/>
        </w:rPr>
        <w:t>installation sur la salle polyvalente d’une puissance de 9 kWc.</w:t>
      </w:r>
      <w:r>
        <w:rPr>
          <w:rFonts w:asciiTheme="minorHAnsi" w:hAnsiTheme="minorHAnsi" w:cs="Calibri Light"/>
        </w:rPr>
        <w:t xml:space="preserve"> Le conseil étudiera ensuite les différentes propositions techniques </w:t>
      </w:r>
      <w:r w:rsidR="00910251">
        <w:rPr>
          <w:rFonts w:asciiTheme="minorHAnsi" w:hAnsiTheme="minorHAnsi" w:cs="Calibri Light"/>
        </w:rPr>
        <w:t xml:space="preserve">et financières </w:t>
      </w:r>
      <w:r>
        <w:rPr>
          <w:rFonts w:asciiTheme="minorHAnsi" w:hAnsiTheme="minorHAnsi" w:cs="Calibri Light"/>
        </w:rPr>
        <w:t xml:space="preserve">des entreprises avant de </w:t>
      </w:r>
      <w:r w:rsidR="00910251">
        <w:rPr>
          <w:rFonts w:asciiTheme="minorHAnsi" w:hAnsiTheme="minorHAnsi" w:cs="Calibri Light"/>
        </w:rPr>
        <w:t>valider – ou non – une telle installation.</w:t>
      </w:r>
    </w:p>
    <w:p w14:paraId="270E4AA5" w14:textId="77777777" w:rsidR="0090566D" w:rsidRDefault="0090566D" w:rsidP="00E659CD">
      <w:pPr>
        <w:spacing w:before="120" w:after="120"/>
        <w:ind w:left="142"/>
        <w:jc w:val="both"/>
        <w:rPr>
          <w:rFonts w:asciiTheme="minorHAnsi" w:hAnsiTheme="minorHAnsi" w:cs="Calibri Light"/>
        </w:rPr>
      </w:pPr>
    </w:p>
    <w:p w14:paraId="6A52667E" w14:textId="35CF4359" w:rsidR="0090566D" w:rsidRPr="00910251" w:rsidRDefault="0090566D" w:rsidP="00910251">
      <w:pPr>
        <w:pStyle w:val="Titre2"/>
        <w:numPr>
          <w:ilvl w:val="0"/>
          <w:numId w:val="6"/>
        </w:numPr>
        <w:spacing w:before="120" w:after="120"/>
        <w:ind w:left="567" w:hanging="425"/>
        <w:rPr>
          <w:b/>
          <w:sz w:val="24"/>
          <w:szCs w:val="24"/>
          <w:u w:val="single"/>
        </w:rPr>
      </w:pPr>
      <w:r w:rsidRPr="00910251">
        <w:rPr>
          <w:b/>
          <w:sz w:val="24"/>
          <w:szCs w:val="24"/>
          <w:u w:val="single"/>
        </w:rPr>
        <w:t>Repas des aînés</w:t>
      </w:r>
    </w:p>
    <w:p w14:paraId="7632E5B5" w14:textId="4343A9F6" w:rsidR="0090566D" w:rsidRDefault="0090566D" w:rsidP="00E659CD">
      <w:pPr>
        <w:spacing w:before="120" w:after="120"/>
        <w:ind w:left="142"/>
        <w:jc w:val="both"/>
        <w:rPr>
          <w:rFonts w:asciiTheme="minorHAnsi" w:hAnsiTheme="minorHAnsi" w:cs="Calibri Light"/>
        </w:rPr>
      </w:pPr>
      <w:r>
        <w:rPr>
          <w:rFonts w:asciiTheme="minorHAnsi" w:hAnsiTheme="minorHAnsi" w:cs="Calibri Light"/>
        </w:rPr>
        <w:t>Il aura lieu le samedi 11 mars à la salle des fêtes de Pardines. Des informations complémentaires seront distribuées dans la deuxième quinzaine de février.</w:t>
      </w:r>
    </w:p>
    <w:p w14:paraId="15DC29D9" w14:textId="77777777" w:rsidR="00AE4344" w:rsidRDefault="00AE4344" w:rsidP="00E659CD">
      <w:pPr>
        <w:spacing w:before="120" w:after="120"/>
        <w:ind w:left="142"/>
        <w:jc w:val="both"/>
        <w:rPr>
          <w:rFonts w:asciiTheme="minorHAnsi" w:hAnsiTheme="minorHAnsi" w:cs="Calibri Light"/>
        </w:rPr>
      </w:pPr>
    </w:p>
    <w:p w14:paraId="519E400B" w14:textId="3D3D3108" w:rsidR="00AE4344" w:rsidRPr="00910251" w:rsidRDefault="00AE4344" w:rsidP="00AE4344">
      <w:pPr>
        <w:pStyle w:val="Titre2"/>
        <w:numPr>
          <w:ilvl w:val="0"/>
          <w:numId w:val="6"/>
        </w:numPr>
        <w:spacing w:before="120" w:after="120"/>
        <w:ind w:left="567" w:hanging="42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Photos ou cartes postales</w:t>
      </w:r>
    </w:p>
    <w:p w14:paraId="7BD265F4" w14:textId="0AC233B2" w:rsidR="00AE4344" w:rsidRDefault="00AE4344" w:rsidP="00AE4344">
      <w:pPr>
        <w:spacing w:before="120" w:after="120"/>
        <w:ind w:left="142"/>
        <w:jc w:val="both"/>
        <w:rPr>
          <w:rFonts w:asciiTheme="minorHAnsi" w:hAnsiTheme="minorHAnsi" w:cs="Calibri Light"/>
        </w:rPr>
      </w:pPr>
      <w:r>
        <w:rPr>
          <w:rFonts w:asciiTheme="minorHAnsi" w:hAnsiTheme="minorHAnsi" w:cs="Calibri Light"/>
        </w:rPr>
        <w:t>Nous recherchons d’anciennes photos, ou cartes postales, de notre village et de ses habitants. Vous pouvez venir en mairie où elles vous seront immédiatement rendues, après scannage.</w:t>
      </w:r>
    </w:p>
    <w:p w14:paraId="5745F201" w14:textId="10435374" w:rsidR="000E0565" w:rsidRDefault="000E0565" w:rsidP="00AE4344">
      <w:pPr>
        <w:spacing w:before="120" w:after="120"/>
        <w:ind w:left="142"/>
        <w:jc w:val="both"/>
        <w:rPr>
          <w:rFonts w:asciiTheme="minorHAnsi" w:hAnsiTheme="minorHAnsi" w:cs="Calibri Light"/>
        </w:rPr>
      </w:pPr>
      <w:r>
        <w:rPr>
          <w:rFonts w:asciiTheme="minorHAnsi" w:hAnsiTheme="minorHAnsi" w:cs="Calibri Light"/>
        </w:rPr>
        <w:t xml:space="preserve">Vous pouvez vous joindre à la prochaine réunion du CCAS, jeudi 2 février à 15 h, à la mairie, </w:t>
      </w:r>
      <w:r w:rsidR="00EC0CB0">
        <w:rPr>
          <w:rFonts w:asciiTheme="minorHAnsi" w:hAnsiTheme="minorHAnsi" w:cs="Calibri Light"/>
        </w:rPr>
        <w:t>où seront envisagées les diverses possibilités de mettre en valeur ce patrimoine.</w:t>
      </w:r>
    </w:p>
    <w:sectPr w:rsidR="000E0565" w:rsidSect="00497B6C">
      <w:pgSz w:w="11907" w:h="16840" w:code="9"/>
      <w:pgMar w:top="567" w:right="567" w:bottom="567" w:left="567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410"/>
    <w:multiLevelType w:val="hybridMultilevel"/>
    <w:tmpl w:val="DCE02C4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FAB13BA"/>
    <w:multiLevelType w:val="hybridMultilevel"/>
    <w:tmpl w:val="18549A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44169"/>
    <w:multiLevelType w:val="hybridMultilevel"/>
    <w:tmpl w:val="4EEE7B82"/>
    <w:lvl w:ilvl="0" w:tplc="F8206D3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57EB0"/>
    <w:multiLevelType w:val="hybridMultilevel"/>
    <w:tmpl w:val="DC60EC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33FDB"/>
    <w:multiLevelType w:val="hybridMultilevel"/>
    <w:tmpl w:val="E85CBA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03795"/>
    <w:multiLevelType w:val="hybridMultilevel"/>
    <w:tmpl w:val="3BF491C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66025B3"/>
    <w:multiLevelType w:val="hybridMultilevel"/>
    <w:tmpl w:val="18549A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326C"/>
    <w:multiLevelType w:val="hybridMultilevel"/>
    <w:tmpl w:val="65CE22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02B15"/>
    <w:multiLevelType w:val="hybridMultilevel"/>
    <w:tmpl w:val="82F448A6"/>
    <w:lvl w:ilvl="0" w:tplc="979E0E44">
      <w:start w:val="16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6087D"/>
    <w:multiLevelType w:val="hybridMultilevel"/>
    <w:tmpl w:val="AEA80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0233F"/>
    <w:multiLevelType w:val="hybridMultilevel"/>
    <w:tmpl w:val="C71E7EB0"/>
    <w:lvl w:ilvl="0" w:tplc="0E507A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91C41"/>
    <w:multiLevelType w:val="hybridMultilevel"/>
    <w:tmpl w:val="EC7604B6"/>
    <w:lvl w:ilvl="0" w:tplc="FC58404A"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8010186"/>
    <w:multiLevelType w:val="multilevel"/>
    <w:tmpl w:val="4DB4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 w15:restartNumberingAfterBreak="0">
    <w:nsid w:val="7A153E13"/>
    <w:multiLevelType w:val="hybridMultilevel"/>
    <w:tmpl w:val="89D67C26"/>
    <w:lvl w:ilvl="0" w:tplc="C82CE5E0">
      <w:start w:val="16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A2E53"/>
    <w:multiLevelType w:val="hybridMultilevel"/>
    <w:tmpl w:val="5D40BB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774052">
    <w:abstractNumId w:val="1"/>
  </w:num>
  <w:num w:numId="2" w16cid:durableId="873538459">
    <w:abstractNumId w:val="4"/>
  </w:num>
  <w:num w:numId="3" w16cid:durableId="599022983">
    <w:abstractNumId w:val="14"/>
  </w:num>
  <w:num w:numId="4" w16cid:durableId="504712041">
    <w:abstractNumId w:val="12"/>
  </w:num>
  <w:num w:numId="5" w16cid:durableId="1564677082">
    <w:abstractNumId w:val="7"/>
  </w:num>
  <w:num w:numId="6" w16cid:durableId="314922109">
    <w:abstractNumId w:val="9"/>
  </w:num>
  <w:num w:numId="7" w16cid:durableId="1133059136">
    <w:abstractNumId w:val="8"/>
  </w:num>
  <w:num w:numId="8" w16cid:durableId="739132218">
    <w:abstractNumId w:val="6"/>
  </w:num>
  <w:num w:numId="9" w16cid:durableId="1173880969">
    <w:abstractNumId w:val="3"/>
  </w:num>
  <w:num w:numId="10" w16cid:durableId="1616667569">
    <w:abstractNumId w:val="13"/>
  </w:num>
  <w:num w:numId="11" w16cid:durableId="71246884">
    <w:abstractNumId w:val="10"/>
  </w:num>
  <w:num w:numId="12" w16cid:durableId="696858286">
    <w:abstractNumId w:val="2"/>
  </w:num>
  <w:num w:numId="13" w16cid:durableId="2144692427">
    <w:abstractNumId w:val="0"/>
  </w:num>
  <w:num w:numId="14" w16cid:durableId="1458648323">
    <w:abstractNumId w:val="11"/>
  </w:num>
  <w:num w:numId="15" w16cid:durableId="1604919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49"/>
    <w:rsid w:val="0001054B"/>
    <w:rsid w:val="00076C18"/>
    <w:rsid w:val="000A033D"/>
    <w:rsid w:val="000E0565"/>
    <w:rsid w:val="000E5B2E"/>
    <w:rsid w:val="000F4D55"/>
    <w:rsid w:val="000F59CB"/>
    <w:rsid w:val="001068DC"/>
    <w:rsid w:val="00121CA6"/>
    <w:rsid w:val="0012469D"/>
    <w:rsid w:val="00124DAF"/>
    <w:rsid w:val="0013224C"/>
    <w:rsid w:val="00170997"/>
    <w:rsid w:val="00171114"/>
    <w:rsid w:val="0017121C"/>
    <w:rsid w:val="00197496"/>
    <w:rsid w:val="00197C4F"/>
    <w:rsid w:val="001A3863"/>
    <w:rsid w:val="001B1C9C"/>
    <w:rsid w:val="001C0C73"/>
    <w:rsid w:val="001D0F41"/>
    <w:rsid w:val="001D7F1C"/>
    <w:rsid w:val="001E20EA"/>
    <w:rsid w:val="001E4FBB"/>
    <w:rsid w:val="001F497F"/>
    <w:rsid w:val="002A464E"/>
    <w:rsid w:val="002A7864"/>
    <w:rsid w:val="002F3E9E"/>
    <w:rsid w:val="003052F0"/>
    <w:rsid w:val="00327404"/>
    <w:rsid w:val="003348A5"/>
    <w:rsid w:val="0037285B"/>
    <w:rsid w:val="003961C4"/>
    <w:rsid w:val="003D6F92"/>
    <w:rsid w:val="004407B4"/>
    <w:rsid w:val="00476549"/>
    <w:rsid w:val="00491919"/>
    <w:rsid w:val="00497B6C"/>
    <w:rsid w:val="004B1A38"/>
    <w:rsid w:val="004C37B9"/>
    <w:rsid w:val="004D6F10"/>
    <w:rsid w:val="004E5012"/>
    <w:rsid w:val="004E7CBA"/>
    <w:rsid w:val="005123FD"/>
    <w:rsid w:val="00542CC2"/>
    <w:rsid w:val="00550CC6"/>
    <w:rsid w:val="00560DF1"/>
    <w:rsid w:val="00570E9E"/>
    <w:rsid w:val="00597DEB"/>
    <w:rsid w:val="005A640F"/>
    <w:rsid w:val="005C4DCD"/>
    <w:rsid w:val="005C72BC"/>
    <w:rsid w:val="005D63EF"/>
    <w:rsid w:val="005F347F"/>
    <w:rsid w:val="00604DE2"/>
    <w:rsid w:val="00606327"/>
    <w:rsid w:val="006152DA"/>
    <w:rsid w:val="006326D1"/>
    <w:rsid w:val="0065412A"/>
    <w:rsid w:val="006C553D"/>
    <w:rsid w:val="006E33BE"/>
    <w:rsid w:val="006F10B3"/>
    <w:rsid w:val="00744DCC"/>
    <w:rsid w:val="00763330"/>
    <w:rsid w:val="00766A31"/>
    <w:rsid w:val="00780905"/>
    <w:rsid w:val="007A1860"/>
    <w:rsid w:val="007D235C"/>
    <w:rsid w:val="007D5CF3"/>
    <w:rsid w:val="007E4DBA"/>
    <w:rsid w:val="007F5041"/>
    <w:rsid w:val="008036EF"/>
    <w:rsid w:val="008205D8"/>
    <w:rsid w:val="00837E46"/>
    <w:rsid w:val="00847BCE"/>
    <w:rsid w:val="00854F99"/>
    <w:rsid w:val="008745F9"/>
    <w:rsid w:val="00874960"/>
    <w:rsid w:val="008963C7"/>
    <w:rsid w:val="008B4432"/>
    <w:rsid w:val="008C73A1"/>
    <w:rsid w:val="008D0923"/>
    <w:rsid w:val="008E0DA0"/>
    <w:rsid w:val="0090566D"/>
    <w:rsid w:val="009066F7"/>
    <w:rsid w:val="00910251"/>
    <w:rsid w:val="00930D35"/>
    <w:rsid w:val="00937059"/>
    <w:rsid w:val="009476BB"/>
    <w:rsid w:val="00955C80"/>
    <w:rsid w:val="009755DE"/>
    <w:rsid w:val="009908A3"/>
    <w:rsid w:val="009920B9"/>
    <w:rsid w:val="009B6C8F"/>
    <w:rsid w:val="009B7C7F"/>
    <w:rsid w:val="009E7533"/>
    <w:rsid w:val="009F054D"/>
    <w:rsid w:val="009F4B5F"/>
    <w:rsid w:val="00A0575C"/>
    <w:rsid w:val="00A11169"/>
    <w:rsid w:val="00A24D38"/>
    <w:rsid w:val="00A45DCF"/>
    <w:rsid w:val="00A649C4"/>
    <w:rsid w:val="00A75E06"/>
    <w:rsid w:val="00A9598B"/>
    <w:rsid w:val="00AC7974"/>
    <w:rsid w:val="00AD51E5"/>
    <w:rsid w:val="00AD73F2"/>
    <w:rsid w:val="00AE4344"/>
    <w:rsid w:val="00AF23A4"/>
    <w:rsid w:val="00AF4198"/>
    <w:rsid w:val="00B1650A"/>
    <w:rsid w:val="00B205BA"/>
    <w:rsid w:val="00B24906"/>
    <w:rsid w:val="00B860AF"/>
    <w:rsid w:val="00BB57C8"/>
    <w:rsid w:val="00BF2729"/>
    <w:rsid w:val="00C2259D"/>
    <w:rsid w:val="00C2265D"/>
    <w:rsid w:val="00C22B40"/>
    <w:rsid w:val="00C333EC"/>
    <w:rsid w:val="00C35BBB"/>
    <w:rsid w:val="00C37650"/>
    <w:rsid w:val="00C54226"/>
    <w:rsid w:val="00C805EE"/>
    <w:rsid w:val="00C87E5A"/>
    <w:rsid w:val="00CD2A13"/>
    <w:rsid w:val="00CD4FC3"/>
    <w:rsid w:val="00CD7A24"/>
    <w:rsid w:val="00CF4A9D"/>
    <w:rsid w:val="00D175C7"/>
    <w:rsid w:val="00D47C64"/>
    <w:rsid w:val="00D86A99"/>
    <w:rsid w:val="00DB6007"/>
    <w:rsid w:val="00DC5C72"/>
    <w:rsid w:val="00DD6C4B"/>
    <w:rsid w:val="00DE66BA"/>
    <w:rsid w:val="00DF73F3"/>
    <w:rsid w:val="00E51DDE"/>
    <w:rsid w:val="00E57892"/>
    <w:rsid w:val="00E659CD"/>
    <w:rsid w:val="00E76920"/>
    <w:rsid w:val="00EA1B1D"/>
    <w:rsid w:val="00EA71B7"/>
    <w:rsid w:val="00EC0CB0"/>
    <w:rsid w:val="00ED4890"/>
    <w:rsid w:val="00F01833"/>
    <w:rsid w:val="00F13DAF"/>
    <w:rsid w:val="00F2452B"/>
    <w:rsid w:val="00F25503"/>
    <w:rsid w:val="00F27122"/>
    <w:rsid w:val="00F34FAA"/>
    <w:rsid w:val="00F36379"/>
    <w:rsid w:val="00F443FB"/>
    <w:rsid w:val="00F475A2"/>
    <w:rsid w:val="00F50E23"/>
    <w:rsid w:val="00F73A4E"/>
    <w:rsid w:val="00F91CD3"/>
    <w:rsid w:val="00FB7EE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F823"/>
  <w15:docId w15:val="{3FC89F0D-5401-464D-9BBF-B6347AD4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0F4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B230C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170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4D55"/>
    <w:rPr>
      <w:rFonts w:asciiTheme="majorHAnsi" w:eastAsiaTheme="majorEastAsia" w:hAnsiTheme="majorHAnsi" w:cstheme="majorBidi"/>
      <w:color w:val="7B230C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F4D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F4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4D5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F4D55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qFormat/>
    <w:rsid w:val="000F4D55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476549"/>
    <w:rPr>
      <w:rFonts w:asciiTheme="majorHAnsi" w:eastAsiaTheme="majorEastAsia" w:hAnsiTheme="majorHAnsi" w:cstheme="majorBidi"/>
      <w:color w:val="7B230C" w:themeColor="accent1" w:themeShade="BF"/>
      <w:sz w:val="26"/>
      <w:szCs w:val="26"/>
      <w:lang w:val="fr-CA" w:eastAsia="fr-FR"/>
    </w:rPr>
  </w:style>
  <w:style w:type="paragraph" w:styleId="Paragraphedeliste">
    <w:name w:val="List Paragraph"/>
    <w:basedOn w:val="Normal"/>
    <w:uiPriority w:val="34"/>
    <w:qFormat/>
    <w:rsid w:val="004765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6549"/>
    <w:rPr>
      <w:color w:val="FB4A18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549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497B6C"/>
    <w:pPr>
      <w:jc w:val="both"/>
    </w:pPr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497B6C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6C5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FR"/>
    </w:rPr>
  </w:style>
  <w:style w:type="paragraph" w:customStyle="1" w:styleId="Default">
    <w:name w:val="Default"/>
    <w:rsid w:val="006C5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659CD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E659CD"/>
    <w:rPr>
      <w:rFonts w:asciiTheme="majorHAnsi" w:eastAsiaTheme="majorEastAsia" w:hAnsiTheme="majorHAnsi" w:cstheme="majorBidi"/>
      <w:color w:val="521708" w:themeColor="accent1" w:themeShade="7F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rin">
  <a:themeElements>
    <a:clrScheme name="Bri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Brin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ri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4F983-7481-4C56-97AC-C03BB370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 Courty</dc:creator>
  <cp:lastModifiedBy>hp</cp:lastModifiedBy>
  <cp:revision>5</cp:revision>
  <cp:lastPrinted>2023-01-25T20:38:00Z</cp:lastPrinted>
  <dcterms:created xsi:type="dcterms:W3CDTF">2023-01-23T11:16:00Z</dcterms:created>
  <dcterms:modified xsi:type="dcterms:W3CDTF">2023-01-25T20:44:00Z</dcterms:modified>
</cp:coreProperties>
</file>